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293DF" w14:textId="77777777" w:rsidR="00BE313D" w:rsidRDefault="00056CCF" w:rsidP="00056CCF">
      <w:pPr>
        <w:jc w:val="center"/>
        <w:rPr>
          <w:b/>
          <w:sz w:val="28"/>
          <w:szCs w:val="28"/>
        </w:rPr>
      </w:pPr>
      <w:r w:rsidRPr="00056CCF">
        <w:rPr>
          <w:b/>
          <w:sz w:val="28"/>
          <w:szCs w:val="28"/>
        </w:rPr>
        <w:t>Clear Intent Strategy Record Retention Procedure</w:t>
      </w:r>
    </w:p>
    <w:p w14:paraId="28BF8171" w14:textId="77777777" w:rsidR="00056CCF" w:rsidRPr="00056CCF" w:rsidRDefault="00056CCF" w:rsidP="00056CCF">
      <w:pPr>
        <w:jc w:val="center"/>
        <w:rPr>
          <w:b/>
          <w:sz w:val="28"/>
          <w:szCs w:val="28"/>
        </w:rPr>
      </w:pPr>
    </w:p>
    <w:p w14:paraId="55D5A511" w14:textId="77777777" w:rsidR="001B280E" w:rsidRDefault="001B280E"/>
    <w:tbl>
      <w:tblPr>
        <w:tblStyle w:val="TableGrid"/>
        <w:tblW w:w="8838" w:type="dxa"/>
        <w:tblLook w:val="04A0" w:firstRow="1" w:lastRow="0" w:firstColumn="1" w:lastColumn="0" w:noHBand="0" w:noVBand="1"/>
      </w:tblPr>
      <w:tblGrid>
        <w:gridCol w:w="8838"/>
      </w:tblGrid>
      <w:tr w:rsidR="001B280E" w14:paraId="72229417" w14:textId="77777777" w:rsidTr="001B280E">
        <w:tc>
          <w:tcPr>
            <w:tcW w:w="8838" w:type="dxa"/>
          </w:tcPr>
          <w:p w14:paraId="002A4EED" w14:textId="77777777" w:rsidR="001B280E" w:rsidRPr="001B280E" w:rsidRDefault="001B280E" w:rsidP="001B280E">
            <w:pPr>
              <w:rPr>
                <w:b/>
              </w:rPr>
            </w:pPr>
            <w:r w:rsidRPr="001B280E">
              <w:rPr>
                <w:b/>
              </w:rPr>
              <w:t>Revision Record</w:t>
            </w:r>
          </w:p>
        </w:tc>
      </w:tr>
      <w:tr w:rsidR="001B280E" w14:paraId="6F16473D" w14:textId="77777777" w:rsidTr="001B280E">
        <w:tc>
          <w:tcPr>
            <w:tcW w:w="8838" w:type="dxa"/>
          </w:tcPr>
          <w:p w14:paraId="339826D3" w14:textId="77777777" w:rsidR="001B280E" w:rsidRPr="001B280E" w:rsidRDefault="001B280E">
            <w:pPr>
              <w:rPr>
                <w:sz w:val="22"/>
                <w:szCs w:val="22"/>
              </w:rPr>
            </w:pPr>
            <w:r w:rsidRPr="001B280E">
              <w:rPr>
                <w:sz w:val="22"/>
                <w:szCs w:val="22"/>
              </w:rPr>
              <w:t>Procedure originally written and adopted November 2013</w:t>
            </w:r>
          </w:p>
        </w:tc>
      </w:tr>
      <w:tr w:rsidR="001B280E" w14:paraId="5D1F0EB5" w14:textId="77777777" w:rsidTr="001B280E">
        <w:tc>
          <w:tcPr>
            <w:tcW w:w="8838" w:type="dxa"/>
          </w:tcPr>
          <w:p w14:paraId="44B7E027" w14:textId="77777777" w:rsidR="001B280E" w:rsidRPr="001B280E" w:rsidRDefault="001B280E">
            <w:pPr>
              <w:rPr>
                <w:sz w:val="28"/>
                <w:szCs w:val="28"/>
              </w:rPr>
            </w:pPr>
          </w:p>
        </w:tc>
      </w:tr>
      <w:tr w:rsidR="001B280E" w14:paraId="68E8F741" w14:textId="77777777" w:rsidTr="001B280E">
        <w:tc>
          <w:tcPr>
            <w:tcW w:w="8838" w:type="dxa"/>
          </w:tcPr>
          <w:p w14:paraId="0B842E18" w14:textId="77777777" w:rsidR="001B280E" w:rsidRPr="001B280E" w:rsidRDefault="001B280E">
            <w:pPr>
              <w:rPr>
                <w:sz w:val="28"/>
                <w:szCs w:val="28"/>
              </w:rPr>
            </w:pPr>
          </w:p>
        </w:tc>
      </w:tr>
      <w:tr w:rsidR="001B280E" w14:paraId="748BCC18" w14:textId="77777777" w:rsidTr="001B280E">
        <w:tc>
          <w:tcPr>
            <w:tcW w:w="8838" w:type="dxa"/>
          </w:tcPr>
          <w:p w14:paraId="4C625CB8" w14:textId="77777777" w:rsidR="001B280E" w:rsidRPr="001B280E" w:rsidRDefault="001B280E">
            <w:pPr>
              <w:rPr>
                <w:sz w:val="28"/>
                <w:szCs w:val="28"/>
              </w:rPr>
            </w:pPr>
          </w:p>
        </w:tc>
      </w:tr>
      <w:tr w:rsidR="001B280E" w14:paraId="4DF663CB" w14:textId="77777777" w:rsidTr="001B280E">
        <w:tc>
          <w:tcPr>
            <w:tcW w:w="8838" w:type="dxa"/>
          </w:tcPr>
          <w:p w14:paraId="322198F9" w14:textId="77777777" w:rsidR="001B280E" w:rsidRPr="001B280E" w:rsidRDefault="001B280E">
            <w:pPr>
              <w:rPr>
                <w:sz w:val="28"/>
                <w:szCs w:val="28"/>
              </w:rPr>
            </w:pPr>
          </w:p>
        </w:tc>
      </w:tr>
    </w:tbl>
    <w:p w14:paraId="005F4CB3" w14:textId="77777777" w:rsidR="00056CCF" w:rsidRDefault="00056CCF"/>
    <w:tbl>
      <w:tblPr>
        <w:tblStyle w:val="TableGrid"/>
        <w:tblW w:w="8856" w:type="dxa"/>
        <w:tblLook w:val="04A0" w:firstRow="1" w:lastRow="0" w:firstColumn="1" w:lastColumn="0" w:noHBand="0" w:noVBand="1"/>
      </w:tblPr>
      <w:tblGrid>
        <w:gridCol w:w="811"/>
        <w:gridCol w:w="1493"/>
        <w:gridCol w:w="1803"/>
        <w:gridCol w:w="1607"/>
        <w:gridCol w:w="1669"/>
        <w:gridCol w:w="1473"/>
      </w:tblGrid>
      <w:tr w:rsidR="001B280E" w14:paraId="2F62CB25" w14:textId="77777777" w:rsidTr="001B280E">
        <w:trPr>
          <w:trHeight w:val="195"/>
        </w:trPr>
        <w:tc>
          <w:tcPr>
            <w:tcW w:w="8856" w:type="dxa"/>
            <w:gridSpan w:val="6"/>
          </w:tcPr>
          <w:p w14:paraId="630E1C5B" w14:textId="77777777" w:rsidR="001B280E" w:rsidRPr="001B280E" w:rsidRDefault="001B280E" w:rsidP="001B280E">
            <w:pPr>
              <w:rPr>
                <w:b/>
              </w:rPr>
            </w:pPr>
            <w:r>
              <w:rPr>
                <w:b/>
              </w:rPr>
              <w:t>Compliance Record</w:t>
            </w:r>
          </w:p>
        </w:tc>
      </w:tr>
      <w:tr w:rsidR="001B280E" w14:paraId="30843441" w14:textId="77777777" w:rsidTr="001B280E">
        <w:trPr>
          <w:trHeight w:val="193"/>
        </w:trPr>
        <w:tc>
          <w:tcPr>
            <w:tcW w:w="811" w:type="dxa"/>
          </w:tcPr>
          <w:p w14:paraId="7C180482" w14:textId="77777777" w:rsidR="001B280E" w:rsidRPr="001B280E" w:rsidRDefault="001B280E" w:rsidP="001B280E">
            <w:pPr>
              <w:rPr>
                <w:b/>
                <w:sz w:val="22"/>
                <w:szCs w:val="22"/>
              </w:rPr>
            </w:pPr>
            <w:r w:rsidRPr="001B280E">
              <w:rPr>
                <w:b/>
                <w:sz w:val="22"/>
                <w:szCs w:val="22"/>
              </w:rPr>
              <w:t>Year</w:t>
            </w:r>
          </w:p>
        </w:tc>
        <w:tc>
          <w:tcPr>
            <w:tcW w:w="1493" w:type="dxa"/>
          </w:tcPr>
          <w:p w14:paraId="4071E6AA" w14:textId="77777777" w:rsidR="001B280E" w:rsidRPr="001B280E" w:rsidRDefault="001B280E" w:rsidP="001B280E">
            <w:pPr>
              <w:rPr>
                <w:b/>
                <w:sz w:val="22"/>
                <w:szCs w:val="22"/>
              </w:rPr>
            </w:pPr>
            <w:r w:rsidRPr="001B280E">
              <w:rPr>
                <w:b/>
                <w:sz w:val="22"/>
                <w:szCs w:val="22"/>
              </w:rPr>
              <w:t>Procedure Review</w:t>
            </w:r>
          </w:p>
        </w:tc>
        <w:tc>
          <w:tcPr>
            <w:tcW w:w="1803" w:type="dxa"/>
          </w:tcPr>
          <w:p w14:paraId="6CAACFE9" w14:textId="77777777" w:rsidR="001B280E" w:rsidRPr="001B280E" w:rsidRDefault="001B280E" w:rsidP="001B280E">
            <w:pPr>
              <w:rPr>
                <w:b/>
                <w:sz w:val="22"/>
                <w:szCs w:val="22"/>
              </w:rPr>
            </w:pPr>
            <w:r w:rsidRPr="001B280E">
              <w:rPr>
                <w:b/>
                <w:sz w:val="22"/>
                <w:szCs w:val="22"/>
              </w:rPr>
              <w:t>File folders</w:t>
            </w:r>
          </w:p>
        </w:tc>
        <w:tc>
          <w:tcPr>
            <w:tcW w:w="1607" w:type="dxa"/>
          </w:tcPr>
          <w:p w14:paraId="6FF71AC6" w14:textId="77777777" w:rsidR="001B280E" w:rsidRPr="001B280E" w:rsidRDefault="001B280E" w:rsidP="001B280E">
            <w:pPr>
              <w:rPr>
                <w:b/>
                <w:sz w:val="22"/>
                <w:szCs w:val="22"/>
              </w:rPr>
            </w:pPr>
            <w:r w:rsidRPr="001B280E">
              <w:rPr>
                <w:b/>
                <w:sz w:val="22"/>
                <w:szCs w:val="22"/>
              </w:rPr>
              <w:t>Working Papers</w:t>
            </w:r>
          </w:p>
        </w:tc>
        <w:tc>
          <w:tcPr>
            <w:tcW w:w="1669" w:type="dxa"/>
          </w:tcPr>
          <w:p w14:paraId="75CB04F4" w14:textId="77777777" w:rsidR="001B280E" w:rsidRPr="001B280E" w:rsidRDefault="001B280E" w:rsidP="001B280E">
            <w:pPr>
              <w:rPr>
                <w:b/>
                <w:sz w:val="22"/>
                <w:szCs w:val="22"/>
              </w:rPr>
            </w:pPr>
            <w:r w:rsidRPr="001B280E">
              <w:rPr>
                <w:b/>
                <w:sz w:val="22"/>
                <w:szCs w:val="22"/>
              </w:rPr>
              <w:t>Electronic files</w:t>
            </w:r>
          </w:p>
        </w:tc>
        <w:tc>
          <w:tcPr>
            <w:tcW w:w="1473" w:type="dxa"/>
          </w:tcPr>
          <w:p w14:paraId="0889FB8E" w14:textId="77777777" w:rsidR="001B280E" w:rsidRPr="001B280E" w:rsidRDefault="001B280E" w:rsidP="001B280E">
            <w:pPr>
              <w:rPr>
                <w:b/>
                <w:sz w:val="22"/>
                <w:szCs w:val="22"/>
              </w:rPr>
            </w:pPr>
            <w:r w:rsidRPr="001B280E">
              <w:rPr>
                <w:b/>
                <w:sz w:val="22"/>
                <w:szCs w:val="22"/>
              </w:rPr>
              <w:t>Email</w:t>
            </w:r>
          </w:p>
        </w:tc>
      </w:tr>
      <w:tr w:rsidR="001B280E" w14:paraId="16166E57" w14:textId="77777777" w:rsidTr="001B280E">
        <w:trPr>
          <w:trHeight w:val="193"/>
        </w:trPr>
        <w:tc>
          <w:tcPr>
            <w:tcW w:w="811" w:type="dxa"/>
          </w:tcPr>
          <w:p w14:paraId="5AD567E5" w14:textId="77777777" w:rsidR="001B280E" w:rsidRPr="001B280E" w:rsidRDefault="001B280E" w:rsidP="001B280E">
            <w:pPr>
              <w:rPr>
                <w:b/>
                <w:sz w:val="22"/>
                <w:szCs w:val="22"/>
              </w:rPr>
            </w:pPr>
            <w:r w:rsidRPr="001B280E">
              <w:rPr>
                <w:b/>
                <w:sz w:val="22"/>
                <w:szCs w:val="22"/>
              </w:rPr>
              <w:t>2013</w:t>
            </w:r>
          </w:p>
        </w:tc>
        <w:tc>
          <w:tcPr>
            <w:tcW w:w="1493" w:type="dxa"/>
          </w:tcPr>
          <w:p w14:paraId="47FFA491" w14:textId="77777777" w:rsidR="001B280E" w:rsidRPr="001B280E" w:rsidRDefault="001B280E" w:rsidP="001B280E">
            <w:pPr>
              <w:rPr>
                <w:b/>
                <w:sz w:val="32"/>
                <w:szCs w:val="32"/>
              </w:rPr>
            </w:pPr>
          </w:p>
        </w:tc>
        <w:tc>
          <w:tcPr>
            <w:tcW w:w="1803" w:type="dxa"/>
          </w:tcPr>
          <w:p w14:paraId="3559297D" w14:textId="77777777" w:rsidR="001B280E" w:rsidRPr="001B280E" w:rsidRDefault="001B280E" w:rsidP="001B280E">
            <w:pPr>
              <w:rPr>
                <w:b/>
                <w:sz w:val="32"/>
                <w:szCs w:val="32"/>
              </w:rPr>
            </w:pPr>
          </w:p>
        </w:tc>
        <w:tc>
          <w:tcPr>
            <w:tcW w:w="1607" w:type="dxa"/>
          </w:tcPr>
          <w:p w14:paraId="38997FF2" w14:textId="77777777" w:rsidR="001B280E" w:rsidRPr="001B280E" w:rsidRDefault="001B280E" w:rsidP="001B280E">
            <w:pPr>
              <w:rPr>
                <w:b/>
                <w:sz w:val="32"/>
                <w:szCs w:val="32"/>
              </w:rPr>
            </w:pPr>
          </w:p>
        </w:tc>
        <w:tc>
          <w:tcPr>
            <w:tcW w:w="1669" w:type="dxa"/>
          </w:tcPr>
          <w:p w14:paraId="73CE3117" w14:textId="77777777" w:rsidR="001B280E" w:rsidRPr="001B280E" w:rsidRDefault="001B280E" w:rsidP="001B280E">
            <w:pPr>
              <w:rPr>
                <w:b/>
                <w:sz w:val="32"/>
                <w:szCs w:val="32"/>
              </w:rPr>
            </w:pPr>
          </w:p>
        </w:tc>
        <w:tc>
          <w:tcPr>
            <w:tcW w:w="1473" w:type="dxa"/>
          </w:tcPr>
          <w:p w14:paraId="483E38D0" w14:textId="77777777" w:rsidR="001B280E" w:rsidRPr="001B280E" w:rsidRDefault="001B280E" w:rsidP="001B280E">
            <w:pPr>
              <w:rPr>
                <w:b/>
                <w:sz w:val="32"/>
                <w:szCs w:val="32"/>
              </w:rPr>
            </w:pPr>
          </w:p>
        </w:tc>
      </w:tr>
      <w:tr w:rsidR="001B280E" w14:paraId="6A1CF3A0" w14:textId="77777777" w:rsidTr="001B280E">
        <w:trPr>
          <w:trHeight w:val="193"/>
        </w:trPr>
        <w:tc>
          <w:tcPr>
            <w:tcW w:w="811" w:type="dxa"/>
          </w:tcPr>
          <w:p w14:paraId="7593ACDC" w14:textId="77777777" w:rsidR="001B280E" w:rsidRPr="001B280E" w:rsidRDefault="001B280E" w:rsidP="001B280E">
            <w:pPr>
              <w:rPr>
                <w:b/>
                <w:sz w:val="22"/>
                <w:szCs w:val="22"/>
              </w:rPr>
            </w:pPr>
            <w:r w:rsidRPr="001B280E">
              <w:rPr>
                <w:b/>
                <w:sz w:val="22"/>
                <w:szCs w:val="22"/>
              </w:rPr>
              <w:t>2014</w:t>
            </w:r>
          </w:p>
        </w:tc>
        <w:tc>
          <w:tcPr>
            <w:tcW w:w="1493" w:type="dxa"/>
          </w:tcPr>
          <w:p w14:paraId="3D5B6909" w14:textId="77777777" w:rsidR="001B280E" w:rsidRPr="001B280E" w:rsidRDefault="001B280E" w:rsidP="001B280E">
            <w:pPr>
              <w:rPr>
                <w:b/>
                <w:sz w:val="32"/>
                <w:szCs w:val="32"/>
              </w:rPr>
            </w:pPr>
          </w:p>
        </w:tc>
        <w:tc>
          <w:tcPr>
            <w:tcW w:w="1803" w:type="dxa"/>
          </w:tcPr>
          <w:p w14:paraId="76D95482" w14:textId="77777777" w:rsidR="001B280E" w:rsidRPr="001B280E" w:rsidRDefault="001B280E" w:rsidP="001B280E">
            <w:pPr>
              <w:rPr>
                <w:b/>
                <w:sz w:val="32"/>
                <w:szCs w:val="32"/>
              </w:rPr>
            </w:pPr>
          </w:p>
        </w:tc>
        <w:tc>
          <w:tcPr>
            <w:tcW w:w="1607" w:type="dxa"/>
          </w:tcPr>
          <w:p w14:paraId="0A8C020E" w14:textId="77777777" w:rsidR="001B280E" w:rsidRPr="001B280E" w:rsidRDefault="001B280E" w:rsidP="001B280E">
            <w:pPr>
              <w:rPr>
                <w:b/>
                <w:sz w:val="32"/>
                <w:szCs w:val="32"/>
              </w:rPr>
            </w:pPr>
          </w:p>
        </w:tc>
        <w:tc>
          <w:tcPr>
            <w:tcW w:w="1669" w:type="dxa"/>
          </w:tcPr>
          <w:p w14:paraId="38378C42" w14:textId="77777777" w:rsidR="001B280E" w:rsidRPr="001B280E" w:rsidRDefault="001B280E" w:rsidP="001B280E">
            <w:pPr>
              <w:rPr>
                <w:b/>
                <w:sz w:val="32"/>
                <w:szCs w:val="32"/>
              </w:rPr>
            </w:pPr>
          </w:p>
        </w:tc>
        <w:tc>
          <w:tcPr>
            <w:tcW w:w="1473" w:type="dxa"/>
          </w:tcPr>
          <w:p w14:paraId="460C8A28" w14:textId="77777777" w:rsidR="001B280E" w:rsidRPr="001B280E" w:rsidRDefault="001B280E" w:rsidP="001B280E">
            <w:pPr>
              <w:rPr>
                <w:b/>
                <w:sz w:val="32"/>
                <w:szCs w:val="32"/>
              </w:rPr>
            </w:pPr>
          </w:p>
        </w:tc>
      </w:tr>
      <w:tr w:rsidR="001B280E" w14:paraId="0C842470" w14:textId="77777777" w:rsidTr="001B280E">
        <w:trPr>
          <w:trHeight w:val="193"/>
        </w:trPr>
        <w:tc>
          <w:tcPr>
            <w:tcW w:w="811" w:type="dxa"/>
          </w:tcPr>
          <w:p w14:paraId="73BB2BD2" w14:textId="77777777" w:rsidR="001B280E" w:rsidRPr="001B280E" w:rsidRDefault="001B280E" w:rsidP="001B280E">
            <w:pPr>
              <w:rPr>
                <w:b/>
                <w:sz w:val="22"/>
                <w:szCs w:val="22"/>
              </w:rPr>
            </w:pPr>
            <w:r w:rsidRPr="001B280E">
              <w:rPr>
                <w:b/>
                <w:sz w:val="22"/>
                <w:szCs w:val="22"/>
              </w:rPr>
              <w:t>2015</w:t>
            </w:r>
          </w:p>
        </w:tc>
        <w:tc>
          <w:tcPr>
            <w:tcW w:w="1493" w:type="dxa"/>
          </w:tcPr>
          <w:p w14:paraId="6E8D0A4D" w14:textId="77777777" w:rsidR="001B280E" w:rsidRPr="001B280E" w:rsidRDefault="001B280E" w:rsidP="001B280E">
            <w:pPr>
              <w:rPr>
                <w:b/>
                <w:sz w:val="32"/>
                <w:szCs w:val="32"/>
              </w:rPr>
            </w:pPr>
          </w:p>
        </w:tc>
        <w:tc>
          <w:tcPr>
            <w:tcW w:w="1803" w:type="dxa"/>
          </w:tcPr>
          <w:p w14:paraId="33D12548" w14:textId="77777777" w:rsidR="001B280E" w:rsidRPr="001B280E" w:rsidRDefault="001B280E" w:rsidP="001B280E">
            <w:pPr>
              <w:rPr>
                <w:b/>
                <w:sz w:val="32"/>
                <w:szCs w:val="32"/>
              </w:rPr>
            </w:pPr>
          </w:p>
        </w:tc>
        <w:tc>
          <w:tcPr>
            <w:tcW w:w="1607" w:type="dxa"/>
          </w:tcPr>
          <w:p w14:paraId="799017FD" w14:textId="77777777" w:rsidR="001B280E" w:rsidRPr="001B280E" w:rsidRDefault="001B280E" w:rsidP="001B280E">
            <w:pPr>
              <w:rPr>
                <w:b/>
                <w:sz w:val="32"/>
                <w:szCs w:val="32"/>
              </w:rPr>
            </w:pPr>
          </w:p>
        </w:tc>
        <w:tc>
          <w:tcPr>
            <w:tcW w:w="1669" w:type="dxa"/>
          </w:tcPr>
          <w:p w14:paraId="27F54723" w14:textId="77777777" w:rsidR="001B280E" w:rsidRPr="001B280E" w:rsidRDefault="001B280E" w:rsidP="001B280E">
            <w:pPr>
              <w:rPr>
                <w:b/>
                <w:sz w:val="32"/>
                <w:szCs w:val="32"/>
              </w:rPr>
            </w:pPr>
          </w:p>
        </w:tc>
        <w:tc>
          <w:tcPr>
            <w:tcW w:w="1473" w:type="dxa"/>
          </w:tcPr>
          <w:p w14:paraId="07B6D7DE" w14:textId="77777777" w:rsidR="001B280E" w:rsidRPr="001B280E" w:rsidRDefault="001B280E" w:rsidP="001B280E">
            <w:pPr>
              <w:rPr>
                <w:b/>
                <w:sz w:val="32"/>
                <w:szCs w:val="32"/>
              </w:rPr>
            </w:pPr>
          </w:p>
        </w:tc>
      </w:tr>
      <w:tr w:rsidR="001B280E" w14:paraId="0F8F343A" w14:textId="77777777" w:rsidTr="001B280E">
        <w:trPr>
          <w:trHeight w:val="193"/>
        </w:trPr>
        <w:tc>
          <w:tcPr>
            <w:tcW w:w="811" w:type="dxa"/>
          </w:tcPr>
          <w:p w14:paraId="4476866C" w14:textId="77777777" w:rsidR="001B280E" w:rsidRPr="001B280E" w:rsidRDefault="001B280E" w:rsidP="001B280E">
            <w:pPr>
              <w:rPr>
                <w:b/>
                <w:sz w:val="22"/>
                <w:szCs w:val="22"/>
              </w:rPr>
            </w:pPr>
            <w:r w:rsidRPr="001B280E">
              <w:rPr>
                <w:b/>
                <w:sz w:val="22"/>
                <w:szCs w:val="22"/>
              </w:rPr>
              <w:t>2016</w:t>
            </w:r>
          </w:p>
        </w:tc>
        <w:tc>
          <w:tcPr>
            <w:tcW w:w="1493" w:type="dxa"/>
          </w:tcPr>
          <w:p w14:paraId="120FBDBF" w14:textId="77777777" w:rsidR="001B280E" w:rsidRPr="001B280E" w:rsidRDefault="001B280E" w:rsidP="001B280E">
            <w:pPr>
              <w:rPr>
                <w:b/>
                <w:sz w:val="32"/>
                <w:szCs w:val="32"/>
              </w:rPr>
            </w:pPr>
          </w:p>
        </w:tc>
        <w:tc>
          <w:tcPr>
            <w:tcW w:w="1803" w:type="dxa"/>
          </w:tcPr>
          <w:p w14:paraId="00EEFA11" w14:textId="77777777" w:rsidR="001B280E" w:rsidRPr="001B280E" w:rsidRDefault="001B280E" w:rsidP="001B280E">
            <w:pPr>
              <w:rPr>
                <w:b/>
                <w:sz w:val="32"/>
                <w:szCs w:val="32"/>
              </w:rPr>
            </w:pPr>
          </w:p>
        </w:tc>
        <w:tc>
          <w:tcPr>
            <w:tcW w:w="1607" w:type="dxa"/>
          </w:tcPr>
          <w:p w14:paraId="6AFC220F" w14:textId="77777777" w:rsidR="001B280E" w:rsidRPr="001B280E" w:rsidRDefault="001B280E" w:rsidP="001B280E">
            <w:pPr>
              <w:rPr>
                <w:b/>
                <w:sz w:val="32"/>
                <w:szCs w:val="32"/>
              </w:rPr>
            </w:pPr>
          </w:p>
        </w:tc>
        <w:tc>
          <w:tcPr>
            <w:tcW w:w="1669" w:type="dxa"/>
          </w:tcPr>
          <w:p w14:paraId="65B38904" w14:textId="77777777" w:rsidR="001B280E" w:rsidRPr="001B280E" w:rsidRDefault="001B280E" w:rsidP="001B280E">
            <w:pPr>
              <w:rPr>
                <w:b/>
                <w:sz w:val="32"/>
                <w:szCs w:val="32"/>
              </w:rPr>
            </w:pPr>
          </w:p>
        </w:tc>
        <w:tc>
          <w:tcPr>
            <w:tcW w:w="1473" w:type="dxa"/>
          </w:tcPr>
          <w:p w14:paraId="339C55AA" w14:textId="77777777" w:rsidR="001B280E" w:rsidRPr="001B280E" w:rsidRDefault="001B280E" w:rsidP="001B280E">
            <w:pPr>
              <w:rPr>
                <w:b/>
                <w:sz w:val="32"/>
                <w:szCs w:val="32"/>
              </w:rPr>
            </w:pPr>
          </w:p>
        </w:tc>
      </w:tr>
      <w:tr w:rsidR="001B280E" w14:paraId="04A92820" w14:textId="77777777" w:rsidTr="001B280E">
        <w:trPr>
          <w:trHeight w:val="193"/>
        </w:trPr>
        <w:tc>
          <w:tcPr>
            <w:tcW w:w="811" w:type="dxa"/>
          </w:tcPr>
          <w:p w14:paraId="03D343E8" w14:textId="77777777" w:rsidR="001B280E" w:rsidRPr="001B280E" w:rsidRDefault="001B280E" w:rsidP="001B280E">
            <w:pPr>
              <w:rPr>
                <w:b/>
                <w:sz w:val="22"/>
                <w:szCs w:val="22"/>
              </w:rPr>
            </w:pPr>
            <w:r w:rsidRPr="001B280E">
              <w:rPr>
                <w:b/>
                <w:sz w:val="22"/>
                <w:szCs w:val="22"/>
              </w:rPr>
              <w:t>2017</w:t>
            </w:r>
          </w:p>
        </w:tc>
        <w:tc>
          <w:tcPr>
            <w:tcW w:w="1493" w:type="dxa"/>
          </w:tcPr>
          <w:p w14:paraId="5AE0BC8C" w14:textId="77777777" w:rsidR="001B280E" w:rsidRPr="001B280E" w:rsidRDefault="001B280E" w:rsidP="001B280E">
            <w:pPr>
              <w:rPr>
                <w:b/>
                <w:sz w:val="32"/>
                <w:szCs w:val="32"/>
              </w:rPr>
            </w:pPr>
          </w:p>
        </w:tc>
        <w:tc>
          <w:tcPr>
            <w:tcW w:w="1803" w:type="dxa"/>
          </w:tcPr>
          <w:p w14:paraId="7AAE3992" w14:textId="77777777" w:rsidR="001B280E" w:rsidRPr="001B280E" w:rsidRDefault="001B280E" w:rsidP="001B280E">
            <w:pPr>
              <w:rPr>
                <w:b/>
                <w:sz w:val="32"/>
                <w:szCs w:val="32"/>
              </w:rPr>
            </w:pPr>
          </w:p>
        </w:tc>
        <w:tc>
          <w:tcPr>
            <w:tcW w:w="1607" w:type="dxa"/>
          </w:tcPr>
          <w:p w14:paraId="08E399C4" w14:textId="77777777" w:rsidR="001B280E" w:rsidRPr="001B280E" w:rsidRDefault="001B280E" w:rsidP="001B280E">
            <w:pPr>
              <w:rPr>
                <w:b/>
                <w:sz w:val="32"/>
                <w:szCs w:val="32"/>
              </w:rPr>
            </w:pPr>
          </w:p>
        </w:tc>
        <w:tc>
          <w:tcPr>
            <w:tcW w:w="1669" w:type="dxa"/>
          </w:tcPr>
          <w:p w14:paraId="1E8EB445" w14:textId="77777777" w:rsidR="001B280E" w:rsidRPr="001B280E" w:rsidRDefault="001B280E" w:rsidP="001B280E">
            <w:pPr>
              <w:rPr>
                <w:b/>
                <w:sz w:val="32"/>
                <w:szCs w:val="32"/>
              </w:rPr>
            </w:pPr>
          </w:p>
        </w:tc>
        <w:tc>
          <w:tcPr>
            <w:tcW w:w="1473" w:type="dxa"/>
          </w:tcPr>
          <w:p w14:paraId="63A67A27" w14:textId="77777777" w:rsidR="001B280E" w:rsidRPr="001B280E" w:rsidRDefault="001B280E" w:rsidP="001B280E">
            <w:pPr>
              <w:rPr>
                <w:b/>
                <w:sz w:val="32"/>
                <w:szCs w:val="32"/>
              </w:rPr>
            </w:pPr>
          </w:p>
        </w:tc>
      </w:tr>
      <w:tr w:rsidR="001B280E" w14:paraId="112654EA" w14:textId="77777777" w:rsidTr="001B280E">
        <w:trPr>
          <w:trHeight w:val="193"/>
        </w:trPr>
        <w:tc>
          <w:tcPr>
            <w:tcW w:w="811" w:type="dxa"/>
          </w:tcPr>
          <w:p w14:paraId="68751410" w14:textId="77777777" w:rsidR="001B280E" w:rsidRPr="001B280E" w:rsidRDefault="001B280E" w:rsidP="001B280E">
            <w:pPr>
              <w:rPr>
                <w:b/>
                <w:sz w:val="22"/>
                <w:szCs w:val="22"/>
              </w:rPr>
            </w:pPr>
            <w:r w:rsidRPr="001B280E">
              <w:rPr>
                <w:b/>
                <w:sz w:val="22"/>
                <w:szCs w:val="22"/>
              </w:rPr>
              <w:t>2018</w:t>
            </w:r>
          </w:p>
        </w:tc>
        <w:tc>
          <w:tcPr>
            <w:tcW w:w="1493" w:type="dxa"/>
          </w:tcPr>
          <w:p w14:paraId="6E8F8BBE" w14:textId="77777777" w:rsidR="001B280E" w:rsidRPr="001B280E" w:rsidRDefault="001B280E" w:rsidP="001B280E">
            <w:pPr>
              <w:rPr>
                <w:b/>
                <w:sz w:val="32"/>
                <w:szCs w:val="32"/>
              </w:rPr>
            </w:pPr>
          </w:p>
        </w:tc>
        <w:tc>
          <w:tcPr>
            <w:tcW w:w="1803" w:type="dxa"/>
          </w:tcPr>
          <w:p w14:paraId="13F0E160" w14:textId="77777777" w:rsidR="001B280E" w:rsidRPr="001B280E" w:rsidRDefault="001B280E" w:rsidP="001B280E">
            <w:pPr>
              <w:rPr>
                <w:b/>
                <w:sz w:val="32"/>
                <w:szCs w:val="32"/>
              </w:rPr>
            </w:pPr>
          </w:p>
        </w:tc>
        <w:tc>
          <w:tcPr>
            <w:tcW w:w="1607" w:type="dxa"/>
          </w:tcPr>
          <w:p w14:paraId="1B02E257" w14:textId="77777777" w:rsidR="001B280E" w:rsidRPr="001B280E" w:rsidRDefault="001B280E" w:rsidP="001B280E">
            <w:pPr>
              <w:rPr>
                <w:b/>
                <w:sz w:val="32"/>
                <w:szCs w:val="32"/>
              </w:rPr>
            </w:pPr>
          </w:p>
        </w:tc>
        <w:tc>
          <w:tcPr>
            <w:tcW w:w="1669" w:type="dxa"/>
          </w:tcPr>
          <w:p w14:paraId="58B1DB80" w14:textId="77777777" w:rsidR="001B280E" w:rsidRPr="001B280E" w:rsidRDefault="001B280E" w:rsidP="001B280E">
            <w:pPr>
              <w:rPr>
                <w:b/>
                <w:sz w:val="32"/>
                <w:szCs w:val="32"/>
              </w:rPr>
            </w:pPr>
          </w:p>
        </w:tc>
        <w:tc>
          <w:tcPr>
            <w:tcW w:w="1473" w:type="dxa"/>
          </w:tcPr>
          <w:p w14:paraId="3A3EAAAC" w14:textId="77777777" w:rsidR="001B280E" w:rsidRPr="001B280E" w:rsidRDefault="001B280E" w:rsidP="001B280E">
            <w:pPr>
              <w:rPr>
                <w:b/>
                <w:sz w:val="32"/>
                <w:szCs w:val="32"/>
              </w:rPr>
            </w:pPr>
          </w:p>
        </w:tc>
      </w:tr>
      <w:tr w:rsidR="001B280E" w14:paraId="5168EE69" w14:textId="77777777" w:rsidTr="001B280E">
        <w:trPr>
          <w:trHeight w:val="193"/>
        </w:trPr>
        <w:tc>
          <w:tcPr>
            <w:tcW w:w="811" w:type="dxa"/>
          </w:tcPr>
          <w:p w14:paraId="069452FA" w14:textId="77777777" w:rsidR="001B280E" w:rsidRPr="001B280E" w:rsidRDefault="001B280E" w:rsidP="001B280E">
            <w:pPr>
              <w:rPr>
                <w:b/>
                <w:sz w:val="22"/>
                <w:szCs w:val="22"/>
              </w:rPr>
            </w:pPr>
            <w:r w:rsidRPr="001B280E">
              <w:rPr>
                <w:b/>
                <w:sz w:val="22"/>
                <w:szCs w:val="22"/>
              </w:rPr>
              <w:t>2019</w:t>
            </w:r>
          </w:p>
        </w:tc>
        <w:tc>
          <w:tcPr>
            <w:tcW w:w="1493" w:type="dxa"/>
          </w:tcPr>
          <w:p w14:paraId="033FFC9E" w14:textId="77777777" w:rsidR="001B280E" w:rsidRPr="001B280E" w:rsidRDefault="001B280E" w:rsidP="001B280E">
            <w:pPr>
              <w:rPr>
                <w:b/>
                <w:sz w:val="32"/>
                <w:szCs w:val="32"/>
              </w:rPr>
            </w:pPr>
          </w:p>
        </w:tc>
        <w:tc>
          <w:tcPr>
            <w:tcW w:w="1803" w:type="dxa"/>
          </w:tcPr>
          <w:p w14:paraId="48CAEAED" w14:textId="77777777" w:rsidR="001B280E" w:rsidRPr="001B280E" w:rsidRDefault="001B280E" w:rsidP="001B280E">
            <w:pPr>
              <w:rPr>
                <w:b/>
                <w:sz w:val="32"/>
                <w:szCs w:val="32"/>
              </w:rPr>
            </w:pPr>
          </w:p>
        </w:tc>
        <w:tc>
          <w:tcPr>
            <w:tcW w:w="1607" w:type="dxa"/>
          </w:tcPr>
          <w:p w14:paraId="2BA3626A" w14:textId="77777777" w:rsidR="001B280E" w:rsidRPr="001B280E" w:rsidRDefault="001B280E" w:rsidP="001B280E">
            <w:pPr>
              <w:rPr>
                <w:b/>
                <w:sz w:val="32"/>
                <w:szCs w:val="32"/>
              </w:rPr>
            </w:pPr>
          </w:p>
        </w:tc>
        <w:tc>
          <w:tcPr>
            <w:tcW w:w="1669" w:type="dxa"/>
          </w:tcPr>
          <w:p w14:paraId="36033E98" w14:textId="77777777" w:rsidR="001B280E" w:rsidRPr="001B280E" w:rsidRDefault="001B280E" w:rsidP="001B280E">
            <w:pPr>
              <w:rPr>
                <w:b/>
                <w:sz w:val="32"/>
                <w:szCs w:val="32"/>
              </w:rPr>
            </w:pPr>
          </w:p>
        </w:tc>
        <w:tc>
          <w:tcPr>
            <w:tcW w:w="1473" w:type="dxa"/>
          </w:tcPr>
          <w:p w14:paraId="35852F00" w14:textId="77777777" w:rsidR="001B280E" w:rsidRPr="001B280E" w:rsidRDefault="001B280E" w:rsidP="001B280E">
            <w:pPr>
              <w:rPr>
                <w:b/>
                <w:sz w:val="32"/>
                <w:szCs w:val="32"/>
              </w:rPr>
            </w:pPr>
          </w:p>
        </w:tc>
      </w:tr>
      <w:tr w:rsidR="001B280E" w14:paraId="6B6B236D" w14:textId="77777777" w:rsidTr="001B280E">
        <w:trPr>
          <w:trHeight w:val="193"/>
        </w:trPr>
        <w:tc>
          <w:tcPr>
            <w:tcW w:w="811" w:type="dxa"/>
          </w:tcPr>
          <w:p w14:paraId="418F2310" w14:textId="77777777" w:rsidR="001B280E" w:rsidRPr="001B280E" w:rsidRDefault="001B280E" w:rsidP="001B280E">
            <w:pPr>
              <w:rPr>
                <w:b/>
                <w:sz w:val="22"/>
                <w:szCs w:val="22"/>
              </w:rPr>
            </w:pPr>
            <w:r w:rsidRPr="001B280E">
              <w:rPr>
                <w:b/>
                <w:sz w:val="22"/>
                <w:szCs w:val="22"/>
              </w:rPr>
              <w:t>2020</w:t>
            </w:r>
          </w:p>
        </w:tc>
        <w:tc>
          <w:tcPr>
            <w:tcW w:w="1493" w:type="dxa"/>
          </w:tcPr>
          <w:p w14:paraId="2B40EC63" w14:textId="77777777" w:rsidR="001B280E" w:rsidRPr="001B280E" w:rsidRDefault="001B280E" w:rsidP="001B280E">
            <w:pPr>
              <w:rPr>
                <w:b/>
                <w:sz w:val="32"/>
                <w:szCs w:val="32"/>
              </w:rPr>
            </w:pPr>
          </w:p>
        </w:tc>
        <w:tc>
          <w:tcPr>
            <w:tcW w:w="1803" w:type="dxa"/>
          </w:tcPr>
          <w:p w14:paraId="74B9680E" w14:textId="77777777" w:rsidR="001B280E" w:rsidRPr="001B280E" w:rsidRDefault="001B280E" w:rsidP="001B280E">
            <w:pPr>
              <w:rPr>
                <w:b/>
                <w:sz w:val="32"/>
                <w:szCs w:val="32"/>
              </w:rPr>
            </w:pPr>
          </w:p>
        </w:tc>
        <w:tc>
          <w:tcPr>
            <w:tcW w:w="1607" w:type="dxa"/>
          </w:tcPr>
          <w:p w14:paraId="07D9D5FA" w14:textId="77777777" w:rsidR="001B280E" w:rsidRPr="001B280E" w:rsidRDefault="001B280E" w:rsidP="001B280E">
            <w:pPr>
              <w:rPr>
                <w:b/>
                <w:sz w:val="32"/>
                <w:szCs w:val="32"/>
              </w:rPr>
            </w:pPr>
          </w:p>
        </w:tc>
        <w:tc>
          <w:tcPr>
            <w:tcW w:w="1669" w:type="dxa"/>
          </w:tcPr>
          <w:p w14:paraId="4AF29915" w14:textId="77777777" w:rsidR="001B280E" w:rsidRPr="001B280E" w:rsidRDefault="001B280E" w:rsidP="001B280E">
            <w:pPr>
              <w:rPr>
                <w:b/>
                <w:sz w:val="32"/>
                <w:szCs w:val="32"/>
              </w:rPr>
            </w:pPr>
          </w:p>
        </w:tc>
        <w:tc>
          <w:tcPr>
            <w:tcW w:w="1473" w:type="dxa"/>
          </w:tcPr>
          <w:p w14:paraId="57E79C7C" w14:textId="77777777" w:rsidR="001B280E" w:rsidRPr="001B280E" w:rsidRDefault="001B280E" w:rsidP="001B280E">
            <w:pPr>
              <w:rPr>
                <w:b/>
                <w:sz w:val="32"/>
                <w:szCs w:val="32"/>
              </w:rPr>
            </w:pPr>
          </w:p>
        </w:tc>
      </w:tr>
    </w:tbl>
    <w:p w14:paraId="083AF966" w14:textId="77777777" w:rsidR="00056CCF" w:rsidRDefault="001B280E">
      <w:r>
        <w:tab/>
      </w:r>
    </w:p>
    <w:p w14:paraId="597E67A3" w14:textId="77777777" w:rsidR="00056CCF" w:rsidRPr="001B280E" w:rsidRDefault="00056CCF">
      <w:pPr>
        <w:rPr>
          <w:sz w:val="20"/>
          <w:szCs w:val="20"/>
        </w:rPr>
      </w:pPr>
      <w:r w:rsidRPr="001B280E">
        <w:rPr>
          <w:b/>
          <w:sz w:val="20"/>
          <w:szCs w:val="20"/>
        </w:rPr>
        <w:t>Resource:</w:t>
      </w:r>
      <w:r w:rsidRPr="001B280E">
        <w:rPr>
          <w:sz w:val="20"/>
          <w:szCs w:val="20"/>
        </w:rPr>
        <w:t xml:space="preserve"> http://pages.cbps.canon.com/rs/obs/images/WhitePaper_RecordsManagement_All_EffectiveRMforTodaysBusinessEnvironments.pdf</w:t>
      </w:r>
    </w:p>
    <w:p w14:paraId="615AD126" w14:textId="77777777" w:rsidR="00056CCF" w:rsidRDefault="00056CCF" w:rsidP="00D6684A">
      <w:pPr>
        <w:pStyle w:val="NormalWeb"/>
      </w:pPr>
      <w:r>
        <w:rPr>
          <w:rFonts w:ascii="ChronicleTextG1" w:hAnsi="ChronicleTextG1"/>
          <w:color w:val="515B60"/>
        </w:rPr>
        <w:t xml:space="preserve">During the various phases of the information lifecycle, some of this information becomes sufficiently valuable to be considered “record material” and other information simply remains in general document or data format for eventual disposal. This distinction of becoming a “record” for preservation is critical to the concept of records management, in that all defined records series should have a mandated retention period, whereas “non-record” materials should be discarded soon after their initial use, often within one year of creation. For this reason, when an organization establishes a value chain for products and services, the important records that add value to the creation or management of those products and services should be identified early and should be managed throughout their entire lifecycle. Documents or data that do not need to be retained will clutter up disk drives or desktops and can be eliminated as soon as is practical in the lifecycle of the information by quickly moving it toward destruction or deletion. </w:t>
      </w:r>
    </w:p>
    <w:p w14:paraId="74167F16" w14:textId="77777777" w:rsidR="00D6684A" w:rsidRPr="00D6684A" w:rsidRDefault="00D6684A">
      <w:pPr>
        <w:rPr>
          <w:b/>
        </w:rPr>
      </w:pPr>
      <w:r w:rsidRPr="00D6684A">
        <w:rPr>
          <w:b/>
        </w:rPr>
        <w:t>Procedure</w:t>
      </w:r>
    </w:p>
    <w:p w14:paraId="1E16587E" w14:textId="77777777" w:rsidR="00056CCF" w:rsidRPr="001B280E" w:rsidRDefault="00056CCF">
      <w:pPr>
        <w:rPr>
          <w:sz w:val="22"/>
          <w:szCs w:val="22"/>
        </w:rPr>
      </w:pPr>
      <w:r w:rsidRPr="001B280E">
        <w:rPr>
          <w:sz w:val="22"/>
          <w:szCs w:val="22"/>
        </w:rPr>
        <w:t xml:space="preserve">This procedure is reviewed annually, in February, coincident with purging all appropriate files, both electronic and paper.  </w:t>
      </w:r>
    </w:p>
    <w:p w14:paraId="5A4DAA05" w14:textId="77777777" w:rsidR="00056CCF" w:rsidRPr="001B280E" w:rsidRDefault="00056CCF" w:rsidP="00056CCF">
      <w:pPr>
        <w:pStyle w:val="ListParagraph"/>
        <w:numPr>
          <w:ilvl w:val="0"/>
          <w:numId w:val="1"/>
        </w:numPr>
        <w:rPr>
          <w:sz w:val="22"/>
          <w:szCs w:val="22"/>
        </w:rPr>
      </w:pPr>
      <w:r w:rsidRPr="001B280E">
        <w:rPr>
          <w:sz w:val="22"/>
          <w:szCs w:val="22"/>
        </w:rPr>
        <w:t xml:space="preserve">By February 2014, all retained documents and records will be brought into compliance with this procedure.  </w:t>
      </w:r>
    </w:p>
    <w:p w14:paraId="70807042" w14:textId="77777777" w:rsidR="00056CCF" w:rsidRPr="001B280E" w:rsidRDefault="00056CCF" w:rsidP="00056CCF">
      <w:pPr>
        <w:pStyle w:val="ListParagraph"/>
        <w:numPr>
          <w:ilvl w:val="0"/>
          <w:numId w:val="1"/>
        </w:numPr>
        <w:rPr>
          <w:sz w:val="22"/>
          <w:szCs w:val="22"/>
        </w:rPr>
      </w:pPr>
      <w:r w:rsidRPr="001B280E">
        <w:rPr>
          <w:sz w:val="22"/>
          <w:szCs w:val="22"/>
        </w:rPr>
        <w:t>Annually, each February, we will review all documents and records and make certain they are in compliance with this procedure.</w:t>
      </w:r>
    </w:p>
    <w:p w14:paraId="0A5F8A24" w14:textId="77777777" w:rsidR="00056CCF" w:rsidRPr="001B280E" w:rsidRDefault="00056CCF" w:rsidP="00056CCF">
      <w:pPr>
        <w:pStyle w:val="ListParagraph"/>
        <w:numPr>
          <w:ilvl w:val="0"/>
          <w:numId w:val="1"/>
        </w:numPr>
        <w:rPr>
          <w:sz w:val="22"/>
          <w:szCs w:val="22"/>
        </w:rPr>
      </w:pPr>
      <w:r w:rsidRPr="001B280E">
        <w:rPr>
          <w:sz w:val="22"/>
          <w:szCs w:val="22"/>
        </w:rPr>
        <w:lastRenderedPageBreak/>
        <w:t>In the February review, documents that are less than the time requirements set forth below, will be kept until the following February. At most, therefore, records will be kept 11 months beyond their specified time requirement.</w:t>
      </w:r>
    </w:p>
    <w:p w14:paraId="0E434BCA" w14:textId="77777777" w:rsidR="001B280E" w:rsidRPr="001B280E" w:rsidRDefault="001B280E" w:rsidP="00056CCF">
      <w:pPr>
        <w:pStyle w:val="ListParagraph"/>
        <w:numPr>
          <w:ilvl w:val="0"/>
          <w:numId w:val="1"/>
        </w:numPr>
        <w:rPr>
          <w:sz w:val="22"/>
          <w:szCs w:val="22"/>
        </w:rPr>
      </w:pPr>
      <w:r w:rsidRPr="001B280E">
        <w:rPr>
          <w:sz w:val="22"/>
          <w:szCs w:val="22"/>
        </w:rPr>
        <w:t>Records will be purged using the following methods:</w:t>
      </w:r>
    </w:p>
    <w:p w14:paraId="46BF4D83" w14:textId="77777777" w:rsidR="001B280E" w:rsidRPr="001B280E" w:rsidRDefault="001B280E" w:rsidP="001B280E">
      <w:pPr>
        <w:pStyle w:val="ListParagraph"/>
        <w:numPr>
          <w:ilvl w:val="1"/>
          <w:numId w:val="1"/>
        </w:numPr>
        <w:rPr>
          <w:sz w:val="22"/>
          <w:szCs w:val="22"/>
        </w:rPr>
      </w:pPr>
      <w:r w:rsidRPr="001B280E">
        <w:rPr>
          <w:sz w:val="22"/>
          <w:szCs w:val="22"/>
        </w:rPr>
        <w:t>Sensitive or marked confidential records will be shredded onsite</w:t>
      </w:r>
      <w:r w:rsidR="008F1E0A">
        <w:rPr>
          <w:sz w:val="22"/>
          <w:szCs w:val="22"/>
        </w:rPr>
        <w:t>, or otherwise destroyed,</w:t>
      </w:r>
      <w:r w:rsidRPr="001B280E">
        <w:rPr>
          <w:sz w:val="22"/>
          <w:szCs w:val="22"/>
        </w:rPr>
        <w:t xml:space="preserve"> and disposed</w:t>
      </w:r>
    </w:p>
    <w:p w14:paraId="340D7F38" w14:textId="77777777" w:rsidR="001B280E" w:rsidRPr="001B280E" w:rsidRDefault="001B280E" w:rsidP="001B280E">
      <w:pPr>
        <w:pStyle w:val="ListParagraph"/>
        <w:numPr>
          <w:ilvl w:val="1"/>
          <w:numId w:val="1"/>
        </w:numPr>
        <w:rPr>
          <w:sz w:val="22"/>
          <w:szCs w:val="22"/>
        </w:rPr>
      </w:pPr>
      <w:r w:rsidRPr="001B280E">
        <w:rPr>
          <w:sz w:val="22"/>
          <w:szCs w:val="22"/>
        </w:rPr>
        <w:t>Unidentifiable paper information and non-sensitive paper information will be disposed of using a paper recycling program</w:t>
      </w:r>
    </w:p>
    <w:p w14:paraId="04D65F04" w14:textId="77777777" w:rsidR="001B280E" w:rsidRPr="001B280E" w:rsidRDefault="001B280E" w:rsidP="001B280E">
      <w:pPr>
        <w:pStyle w:val="ListParagraph"/>
        <w:numPr>
          <w:ilvl w:val="1"/>
          <w:numId w:val="1"/>
        </w:numPr>
        <w:rPr>
          <w:sz w:val="22"/>
          <w:szCs w:val="22"/>
        </w:rPr>
      </w:pPr>
      <w:r w:rsidRPr="001B280E">
        <w:rPr>
          <w:sz w:val="22"/>
          <w:szCs w:val="22"/>
        </w:rPr>
        <w:t>Electronic records will be deleted from computers and email servers</w:t>
      </w:r>
    </w:p>
    <w:p w14:paraId="2F07BD7F" w14:textId="77777777" w:rsidR="00056CCF" w:rsidRPr="001B280E" w:rsidRDefault="00056CCF">
      <w:pPr>
        <w:rPr>
          <w:sz w:val="22"/>
          <w:szCs w:val="22"/>
        </w:rPr>
      </w:pPr>
    </w:p>
    <w:p w14:paraId="56FD8EF2" w14:textId="77777777" w:rsidR="00056CCF" w:rsidRPr="001B280E" w:rsidRDefault="00056CCF">
      <w:pPr>
        <w:rPr>
          <w:b/>
          <w:sz w:val="22"/>
          <w:szCs w:val="22"/>
        </w:rPr>
      </w:pPr>
      <w:r w:rsidRPr="001B280E">
        <w:rPr>
          <w:b/>
          <w:sz w:val="22"/>
          <w:szCs w:val="22"/>
        </w:rPr>
        <w:t>Records and documents kept indefinitely:</w:t>
      </w:r>
    </w:p>
    <w:p w14:paraId="5861C3A3" w14:textId="77777777" w:rsidR="00056CCF" w:rsidRPr="001B280E" w:rsidRDefault="00056CCF" w:rsidP="00056CCF">
      <w:pPr>
        <w:pStyle w:val="ListParagraph"/>
        <w:numPr>
          <w:ilvl w:val="0"/>
          <w:numId w:val="2"/>
        </w:numPr>
        <w:rPr>
          <w:sz w:val="22"/>
          <w:szCs w:val="22"/>
        </w:rPr>
      </w:pPr>
      <w:r w:rsidRPr="001B280E">
        <w:rPr>
          <w:sz w:val="22"/>
          <w:szCs w:val="22"/>
        </w:rPr>
        <w:t>Tax filings</w:t>
      </w:r>
    </w:p>
    <w:p w14:paraId="399B295E" w14:textId="77777777" w:rsidR="00056CCF" w:rsidRPr="001B280E" w:rsidRDefault="00056CCF" w:rsidP="00056CCF">
      <w:pPr>
        <w:pStyle w:val="ListParagraph"/>
        <w:numPr>
          <w:ilvl w:val="0"/>
          <w:numId w:val="2"/>
        </w:numPr>
        <w:rPr>
          <w:sz w:val="22"/>
          <w:szCs w:val="22"/>
        </w:rPr>
      </w:pPr>
      <w:r w:rsidRPr="001B280E">
        <w:rPr>
          <w:sz w:val="22"/>
          <w:szCs w:val="22"/>
        </w:rPr>
        <w:t>QuickBooks electronic data</w:t>
      </w:r>
    </w:p>
    <w:p w14:paraId="108EDD3C" w14:textId="77777777" w:rsidR="00056CCF" w:rsidRPr="001B280E" w:rsidRDefault="00056CCF" w:rsidP="00056CCF">
      <w:pPr>
        <w:pStyle w:val="ListParagraph"/>
        <w:numPr>
          <w:ilvl w:val="0"/>
          <w:numId w:val="2"/>
        </w:numPr>
        <w:rPr>
          <w:sz w:val="22"/>
          <w:szCs w:val="22"/>
        </w:rPr>
      </w:pPr>
      <w:r w:rsidRPr="001B280E">
        <w:rPr>
          <w:sz w:val="22"/>
          <w:szCs w:val="22"/>
        </w:rPr>
        <w:t>Client names and contact information</w:t>
      </w:r>
    </w:p>
    <w:p w14:paraId="53C9F15B" w14:textId="77777777" w:rsidR="00056CCF" w:rsidRPr="001B280E" w:rsidRDefault="00056CCF" w:rsidP="00056CCF">
      <w:pPr>
        <w:pStyle w:val="ListParagraph"/>
        <w:numPr>
          <w:ilvl w:val="0"/>
          <w:numId w:val="2"/>
        </w:numPr>
        <w:rPr>
          <w:sz w:val="22"/>
          <w:szCs w:val="22"/>
        </w:rPr>
      </w:pPr>
      <w:r w:rsidRPr="001B280E">
        <w:rPr>
          <w:sz w:val="22"/>
          <w:szCs w:val="22"/>
        </w:rPr>
        <w:t>Signed contracts</w:t>
      </w:r>
      <w:r w:rsidR="00D6684A">
        <w:rPr>
          <w:sz w:val="22"/>
          <w:szCs w:val="22"/>
        </w:rPr>
        <w:t>, contract modifications</w:t>
      </w:r>
      <w:r w:rsidRPr="001B280E">
        <w:rPr>
          <w:sz w:val="22"/>
          <w:szCs w:val="22"/>
        </w:rPr>
        <w:t xml:space="preserve"> and budgets for projects</w:t>
      </w:r>
    </w:p>
    <w:p w14:paraId="053D107F" w14:textId="77777777" w:rsidR="00056CCF" w:rsidRPr="001B280E" w:rsidRDefault="00056CCF" w:rsidP="00056CCF">
      <w:pPr>
        <w:rPr>
          <w:sz w:val="22"/>
          <w:szCs w:val="22"/>
        </w:rPr>
      </w:pPr>
    </w:p>
    <w:p w14:paraId="12AE82D9" w14:textId="77777777" w:rsidR="00056CCF" w:rsidRPr="001B280E" w:rsidRDefault="00056CCF" w:rsidP="00056CCF">
      <w:pPr>
        <w:rPr>
          <w:b/>
          <w:sz w:val="22"/>
          <w:szCs w:val="22"/>
        </w:rPr>
      </w:pPr>
      <w:r w:rsidRPr="001B280E">
        <w:rPr>
          <w:b/>
          <w:sz w:val="22"/>
          <w:szCs w:val="22"/>
        </w:rPr>
        <w:t>Record</w:t>
      </w:r>
      <w:r w:rsidR="00D6684A">
        <w:rPr>
          <w:b/>
          <w:sz w:val="22"/>
          <w:szCs w:val="22"/>
        </w:rPr>
        <w:t>s and documents kept for ten</w:t>
      </w:r>
      <w:r w:rsidRPr="001B280E">
        <w:rPr>
          <w:b/>
          <w:sz w:val="22"/>
          <w:szCs w:val="22"/>
        </w:rPr>
        <w:t xml:space="preserve"> years</w:t>
      </w:r>
      <w:r w:rsidR="008806B7">
        <w:rPr>
          <w:b/>
          <w:sz w:val="22"/>
          <w:szCs w:val="22"/>
        </w:rPr>
        <w:t xml:space="preserve"> in working paper files</w:t>
      </w:r>
      <w:r w:rsidRPr="001B280E">
        <w:rPr>
          <w:b/>
          <w:sz w:val="22"/>
          <w:szCs w:val="22"/>
        </w:rPr>
        <w:t>:</w:t>
      </w:r>
    </w:p>
    <w:p w14:paraId="4BDE86D6" w14:textId="77777777" w:rsidR="00056CCF" w:rsidRPr="001B280E" w:rsidRDefault="001B280E" w:rsidP="00056CCF">
      <w:pPr>
        <w:pStyle w:val="ListParagraph"/>
        <w:numPr>
          <w:ilvl w:val="0"/>
          <w:numId w:val="2"/>
        </w:numPr>
        <w:rPr>
          <w:sz w:val="22"/>
          <w:szCs w:val="22"/>
        </w:rPr>
      </w:pPr>
      <w:r w:rsidRPr="001B280E">
        <w:rPr>
          <w:sz w:val="22"/>
          <w:szCs w:val="22"/>
        </w:rPr>
        <w:t>P</w:t>
      </w:r>
      <w:r w:rsidR="00056CCF" w:rsidRPr="001B280E">
        <w:rPr>
          <w:sz w:val="22"/>
          <w:szCs w:val="22"/>
        </w:rPr>
        <w:t>roject deliverables as defined in the contract</w:t>
      </w:r>
      <w:r w:rsidR="008806B7">
        <w:rPr>
          <w:sz w:val="22"/>
          <w:szCs w:val="22"/>
        </w:rPr>
        <w:t xml:space="preserve">, and any necessary supporting records. </w:t>
      </w:r>
    </w:p>
    <w:p w14:paraId="32E7AEF0" w14:textId="77777777" w:rsidR="00D6684A" w:rsidRDefault="001B280E" w:rsidP="00056CCF">
      <w:pPr>
        <w:pStyle w:val="ListParagraph"/>
        <w:numPr>
          <w:ilvl w:val="0"/>
          <w:numId w:val="2"/>
        </w:numPr>
        <w:rPr>
          <w:sz w:val="22"/>
          <w:szCs w:val="22"/>
        </w:rPr>
      </w:pPr>
      <w:r w:rsidRPr="001B280E">
        <w:rPr>
          <w:sz w:val="22"/>
          <w:szCs w:val="22"/>
        </w:rPr>
        <w:t>E</w:t>
      </w:r>
      <w:r w:rsidR="00056CCF" w:rsidRPr="001B280E">
        <w:rPr>
          <w:sz w:val="22"/>
          <w:szCs w:val="22"/>
        </w:rPr>
        <w:t>xceptions</w:t>
      </w:r>
      <w:r w:rsidR="00D6684A">
        <w:rPr>
          <w:sz w:val="22"/>
          <w:szCs w:val="22"/>
        </w:rPr>
        <w:t xml:space="preserve"> of documents to </w:t>
      </w:r>
      <w:r w:rsidRPr="001B280E">
        <w:rPr>
          <w:sz w:val="22"/>
          <w:szCs w:val="22"/>
        </w:rPr>
        <w:t>be kept longer</w:t>
      </w:r>
      <w:r w:rsidR="00D6684A">
        <w:rPr>
          <w:sz w:val="22"/>
          <w:szCs w:val="22"/>
        </w:rPr>
        <w:t>:</w:t>
      </w:r>
    </w:p>
    <w:p w14:paraId="7D2EF5F1" w14:textId="77777777" w:rsidR="00056CCF" w:rsidRDefault="00D6684A" w:rsidP="00D6684A">
      <w:pPr>
        <w:pStyle w:val="ListParagraph"/>
        <w:numPr>
          <w:ilvl w:val="1"/>
          <w:numId w:val="2"/>
        </w:numPr>
        <w:rPr>
          <w:sz w:val="22"/>
          <w:szCs w:val="22"/>
        </w:rPr>
      </w:pPr>
      <w:r>
        <w:rPr>
          <w:sz w:val="22"/>
          <w:szCs w:val="22"/>
        </w:rPr>
        <w:t>D</w:t>
      </w:r>
      <w:r w:rsidR="001B280E" w:rsidRPr="001B280E">
        <w:rPr>
          <w:sz w:val="22"/>
          <w:szCs w:val="22"/>
        </w:rPr>
        <w:t xml:space="preserve">eliverables for clients who have a strong </w:t>
      </w:r>
      <w:r>
        <w:rPr>
          <w:sz w:val="22"/>
          <w:szCs w:val="22"/>
        </w:rPr>
        <w:t>potential for returning beyond ten</w:t>
      </w:r>
      <w:r w:rsidR="001B280E" w:rsidRPr="001B280E">
        <w:rPr>
          <w:sz w:val="22"/>
          <w:szCs w:val="22"/>
        </w:rPr>
        <w:t xml:space="preserve"> years for original project updates.  (e.g., Bank of the Bahamas, whose original projec</w:t>
      </w:r>
      <w:r>
        <w:rPr>
          <w:sz w:val="22"/>
          <w:szCs w:val="22"/>
        </w:rPr>
        <w:t>t work may need to be updated 15</w:t>
      </w:r>
      <w:r w:rsidR="001B280E" w:rsidRPr="001B280E">
        <w:rPr>
          <w:sz w:val="22"/>
          <w:szCs w:val="22"/>
        </w:rPr>
        <w:t xml:space="preserve"> years </w:t>
      </w:r>
      <w:r>
        <w:rPr>
          <w:sz w:val="22"/>
          <w:szCs w:val="22"/>
        </w:rPr>
        <w:t>after the close of the initial project</w:t>
      </w:r>
      <w:r w:rsidR="001B280E" w:rsidRPr="001B280E">
        <w:rPr>
          <w:sz w:val="22"/>
          <w:szCs w:val="22"/>
        </w:rPr>
        <w:t>.)</w:t>
      </w:r>
      <w:r w:rsidR="00056CCF" w:rsidRPr="001B280E">
        <w:rPr>
          <w:sz w:val="22"/>
          <w:szCs w:val="22"/>
        </w:rPr>
        <w:t xml:space="preserve"> </w:t>
      </w:r>
    </w:p>
    <w:p w14:paraId="0D9E06B4" w14:textId="77777777" w:rsidR="00D6684A" w:rsidRPr="001B280E" w:rsidRDefault="00D6684A" w:rsidP="00D6684A">
      <w:pPr>
        <w:pStyle w:val="ListParagraph"/>
        <w:numPr>
          <w:ilvl w:val="1"/>
          <w:numId w:val="2"/>
        </w:numPr>
        <w:rPr>
          <w:sz w:val="22"/>
          <w:szCs w:val="22"/>
        </w:rPr>
      </w:pPr>
      <w:r>
        <w:rPr>
          <w:sz w:val="22"/>
          <w:szCs w:val="22"/>
        </w:rPr>
        <w:t xml:space="preserve">Project deliverables that are </w:t>
      </w:r>
      <w:r w:rsidRPr="00D6684A">
        <w:rPr>
          <w:sz w:val="22"/>
          <w:szCs w:val="22"/>
          <w:u w:val="single"/>
        </w:rPr>
        <w:t>not</w:t>
      </w:r>
      <w:r>
        <w:rPr>
          <w:sz w:val="22"/>
          <w:szCs w:val="22"/>
        </w:rPr>
        <w:t xml:space="preserve"> work for hire, and therefore not owned by the client.  (E.g., workshop materials that were customized for a client, though not owned by a client, that can be used and modified again for another future client.)</w:t>
      </w:r>
    </w:p>
    <w:p w14:paraId="0273ED74" w14:textId="77777777" w:rsidR="00D6684A" w:rsidRPr="00D6684A" w:rsidRDefault="00D6684A" w:rsidP="00D6684A">
      <w:pPr>
        <w:pStyle w:val="ListParagraph"/>
        <w:numPr>
          <w:ilvl w:val="0"/>
          <w:numId w:val="2"/>
        </w:numPr>
        <w:rPr>
          <w:sz w:val="22"/>
          <w:szCs w:val="22"/>
        </w:rPr>
      </w:pPr>
    </w:p>
    <w:p w14:paraId="34692840" w14:textId="77777777" w:rsidR="00D6684A" w:rsidRPr="00D6684A" w:rsidRDefault="00D6684A" w:rsidP="00D6684A">
      <w:pPr>
        <w:rPr>
          <w:b/>
          <w:sz w:val="22"/>
          <w:szCs w:val="22"/>
        </w:rPr>
      </w:pPr>
      <w:r w:rsidRPr="00D6684A">
        <w:rPr>
          <w:b/>
          <w:sz w:val="22"/>
          <w:szCs w:val="22"/>
        </w:rPr>
        <w:t xml:space="preserve">Records and documents </w:t>
      </w:r>
      <w:r>
        <w:rPr>
          <w:b/>
          <w:sz w:val="22"/>
          <w:szCs w:val="22"/>
        </w:rPr>
        <w:t>kept for one year</w:t>
      </w:r>
      <w:r w:rsidRPr="00D6684A">
        <w:rPr>
          <w:b/>
          <w:sz w:val="22"/>
          <w:szCs w:val="22"/>
        </w:rPr>
        <w:t xml:space="preserve"> after project is complete:</w:t>
      </w:r>
    </w:p>
    <w:p w14:paraId="4139E011" w14:textId="77777777" w:rsidR="00D6684A" w:rsidRDefault="00D6684A" w:rsidP="00D6684A">
      <w:pPr>
        <w:pStyle w:val="ListParagraph"/>
        <w:numPr>
          <w:ilvl w:val="0"/>
          <w:numId w:val="2"/>
        </w:numPr>
        <w:rPr>
          <w:sz w:val="22"/>
          <w:szCs w:val="22"/>
        </w:rPr>
      </w:pPr>
      <w:r>
        <w:rPr>
          <w:sz w:val="22"/>
          <w:szCs w:val="22"/>
        </w:rPr>
        <w:t>Coaching records and action logs</w:t>
      </w:r>
    </w:p>
    <w:p w14:paraId="6455BB39" w14:textId="77777777" w:rsidR="00056CCF" w:rsidRPr="001B280E" w:rsidRDefault="00056CCF" w:rsidP="00056CCF">
      <w:pPr>
        <w:rPr>
          <w:sz w:val="22"/>
          <w:szCs w:val="22"/>
        </w:rPr>
      </w:pPr>
    </w:p>
    <w:p w14:paraId="47FC6BBF" w14:textId="77777777" w:rsidR="008F1E0A" w:rsidRDefault="008F1E0A" w:rsidP="00056CCF">
      <w:pPr>
        <w:rPr>
          <w:b/>
          <w:sz w:val="22"/>
          <w:szCs w:val="22"/>
        </w:rPr>
      </w:pPr>
      <w:r>
        <w:rPr>
          <w:b/>
          <w:sz w:val="22"/>
          <w:szCs w:val="22"/>
        </w:rPr>
        <w:t>Emails will be purged periodically.</w:t>
      </w:r>
    </w:p>
    <w:p w14:paraId="39BE69C2" w14:textId="77777777" w:rsidR="008F1E0A" w:rsidRDefault="008F1E0A" w:rsidP="00056CCF">
      <w:pPr>
        <w:rPr>
          <w:b/>
          <w:sz w:val="22"/>
          <w:szCs w:val="22"/>
        </w:rPr>
      </w:pPr>
    </w:p>
    <w:p w14:paraId="58EC1C7B" w14:textId="77777777" w:rsidR="00056CCF" w:rsidRPr="001B280E" w:rsidRDefault="00056CCF" w:rsidP="00056CCF">
      <w:pPr>
        <w:rPr>
          <w:b/>
          <w:sz w:val="22"/>
          <w:szCs w:val="22"/>
        </w:rPr>
      </w:pPr>
      <w:r w:rsidRPr="001B280E">
        <w:rPr>
          <w:b/>
          <w:sz w:val="22"/>
          <w:szCs w:val="22"/>
        </w:rPr>
        <w:t>Records and documents purged immediately</w:t>
      </w:r>
      <w:r w:rsidR="00D6684A">
        <w:rPr>
          <w:b/>
          <w:sz w:val="22"/>
          <w:szCs w:val="22"/>
        </w:rPr>
        <w:t xml:space="preserve"> and up to one year</w:t>
      </w:r>
      <w:r w:rsidRPr="001B280E">
        <w:rPr>
          <w:b/>
          <w:sz w:val="22"/>
          <w:szCs w:val="22"/>
        </w:rPr>
        <w:t xml:space="preserve"> after project is complete:</w:t>
      </w:r>
    </w:p>
    <w:p w14:paraId="750D6ED3" w14:textId="77777777" w:rsidR="00D6684A" w:rsidRPr="00D6684A" w:rsidRDefault="00D6684A" w:rsidP="00D6684A">
      <w:pPr>
        <w:pStyle w:val="ListParagraph"/>
        <w:numPr>
          <w:ilvl w:val="0"/>
          <w:numId w:val="2"/>
        </w:numPr>
        <w:rPr>
          <w:sz w:val="22"/>
          <w:szCs w:val="22"/>
        </w:rPr>
      </w:pPr>
      <w:r>
        <w:rPr>
          <w:sz w:val="22"/>
          <w:szCs w:val="22"/>
        </w:rPr>
        <w:t>N</w:t>
      </w:r>
      <w:r w:rsidRPr="001B280E">
        <w:rPr>
          <w:sz w:val="22"/>
          <w:szCs w:val="22"/>
        </w:rPr>
        <w:t>on-record materials, as defined above</w:t>
      </w:r>
      <w:r>
        <w:rPr>
          <w:sz w:val="22"/>
          <w:szCs w:val="22"/>
        </w:rPr>
        <w:t>, including i</w:t>
      </w:r>
      <w:r w:rsidR="00056CCF" w:rsidRPr="00D6684A">
        <w:rPr>
          <w:sz w:val="22"/>
          <w:szCs w:val="22"/>
        </w:rPr>
        <w:t xml:space="preserve">ncidental project papers, notes, drawings </w:t>
      </w:r>
    </w:p>
    <w:p w14:paraId="17208F65" w14:textId="77777777" w:rsidR="00B52B06" w:rsidRDefault="00B52B06" w:rsidP="00B52B06"/>
    <w:p w14:paraId="05BDFA84" w14:textId="6C14E2E9" w:rsidR="00B52B06" w:rsidRPr="00B52B06" w:rsidRDefault="00B52B06" w:rsidP="00B52B06">
      <w:pPr>
        <w:rPr>
          <w:b/>
          <w:sz w:val="22"/>
          <w:szCs w:val="22"/>
        </w:rPr>
      </w:pPr>
      <w:r w:rsidRPr="00B52B06">
        <w:rPr>
          <w:b/>
          <w:sz w:val="22"/>
          <w:szCs w:val="22"/>
        </w:rPr>
        <w:t xml:space="preserve">Financial Records </w:t>
      </w:r>
      <w:r>
        <w:rPr>
          <w:b/>
          <w:sz w:val="22"/>
          <w:szCs w:val="22"/>
        </w:rPr>
        <w:t>Per Tom Hyzy, CPA in New York</w:t>
      </w:r>
    </w:p>
    <w:p w14:paraId="6440482F" w14:textId="15FEB2EE" w:rsidR="00B52B06" w:rsidRPr="00B52B06" w:rsidRDefault="00B52B06" w:rsidP="00B52B06">
      <w:pPr>
        <w:rPr>
          <w:sz w:val="22"/>
          <w:szCs w:val="22"/>
        </w:rPr>
      </w:pPr>
      <w:r w:rsidRPr="00B52B06">
        <w:rPr>
          <w:sz w:val="22"/>
          <w:szCs w:val="22"/>
        </w:rPr>
        <w:t>1.  Receipts for “hard” items like equipment, furniture, etc. should be kept for 5 years AFTER the related asset has been disposed of or abandoned</w:t>
      </w:r>
    </w:p>
    <w:p w14:paraId="7EBF1AE1" w14:textId="77777777" w:rsidR="00B52B06" w:rsidRDefault="00B52B06" w:rsidP="00B52B06">
      <w:pPr>
        <w:rPr>
          <w:sz w:val="22"/>
          <w:szCs w:val="22"/>
        </w:rPr>
      </w:pPr>
    </w:p>
    <w:p w14:paraId="111E0FB0" w14:textId="77E042B2" w:rsidR="00B52B06" w:rsidRPr="00B52B06" w:rsidRDefault="00B52B06" w:rsidP="00B52B06">
      <w:pPr>
        <w:rPr>
          <w:sz w:val="22"/>
          <w:szCs w:val="22"/>
        </w:rPr>
      </w:pPr>
      <w:r w:rsidRPr="00B52B06">
        <w:rPr>
          <w:sz w:val="22"/>
          <w:szCs w:val="22"/>
        </w:rPr>
        <w:t xml:space="preserve">2. Receipts all for all other items can be discarded 5 years after the year of receipt. </w:t>
      </w:r>
      <w:bookmarkStart w:id="0" w:name="_GoBack"/>
      <w:bookmarkEnd w:id="0"/>
    </w:p>
    <w:p w14:paraId="1F61942F" w14:textId="196A16F0" w:rsidR="008F1E0A" w:rsidRDefault="008F1E0A"/>
    <w:sectPr w:rsidR="008F1E0A" w:rsidSect="00E50161">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8A122" w14:textId="77777777" w:rsidR="00DD6CD0" w:rsidRDefault="00DD6CD0" w:rsidP="00D6684A">
      <w:r>
        <w:separator/>
      </w:r>
    </w:p>
  </w:endnote>
  <w:endnote w:type="continuationSeparator" w:id="0">
    <w:p w14:paraId="7D5D5842" w14:textId="77777777" w:rsidR="00DD6CD0" w:rsidRDefault="00DD6CD0" w:rsidP="00D66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hronicleTextG1">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A6868" w14:textId="77777777" w:rsidR="00DD6CD0" w:rsidRDefault="00DD6CD0" w:rsidP="00D66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843BE5" w14:textId="77777777" w:rsidR="00DD6CD0" w:rsidRDefault="00DD6CD0" w:rsidP="00D6684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AFBB2" w14:textId="77777777" w:rsidR="00DD6CD0" w:rsidRDefault="00DD6CD0" w:rsidP="00D66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4D06">
      <w:rPr>
        <w:rStyle w:val="PageNumber"/>
        <w:noProof/>
      </w:rPr>
      <w:t>1</w:t>
    </w:r>
    <w:r>
      <w:rPr>
        <w:rStyle w:val="PageNumber"/>
      </w:rPr>
      <w:fldChar w:fldCharType="end"/>
    </w:r>
  </w:p>
  <w:p w14:paraId="4056AE89" w14:textId="77777777" w:rsidR="00DD6CD0" w:rsidRDefault="00DD6CD0" w:rsidP="00D6684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60E7D3" w14:textId="77777777" w:rsidR="00DD6CD0" w:rsidRDefault="00DD6CD0" w:rsidP="00D6684A">
      <w:r>
        <w:separator/>
      </w:r>
    </w:p>
  </w:footnote>
  <w:footnote w:type="continuationSeparator" w:id="0">
    <w:p w14:paraId="28D43DA5" w14:textId="77777777" w:rsidR="00DD6CD0" w:rsidRDefault="00DD6CD0" w:rsidP="00D668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34531"/>
    <w:multiLevelType w:val="hybridMultilevel"/>
    <w:tmpl w:val="6C124E38"/>
    <w:lvl w:ilvl="0" w:tplc="CF848FA6">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B94236"/>
    <w:multiLevelType w:val="hybridMultilevel"/>
    <w:tmpl w:val="9E3616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CCF"/>
    <w:rsid w:val="00056CCF"/>
    <w:rsid w:val="001B280E"/>
    <w:rsid w:val="008806B7"/>
    <w:rsid w:val="008D4D06"/>
    <w:rsid w:val="008F1E0A"/>
    <w:rsid w:val="00B52B06"/>
    <w:rsid w:val="00BE313D"/>
    <w:rsid w:val="00D6684A"/>
    <w:rsid w:val="00DD6CD0"/>
    <w:rsid w:val="00E50161"/>
    <w:rsid w:val="00FF5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5726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CCF"/>
    <w:pPr>
      <w:ind w:left="720"/>
      <w:contextualSpacing/>
    </w:pPr>
  </w:style>
  <w:style w:type="paragraph" w:styleId="NormalWeb">
    <w:name w:val="Normal (Web)"/>
    <w:basedOn w:val="Normal"/>
    <w:uiPriority w:val="99"/>
    <w:unhideWhenUsed/>
    <w:rsid w:val="00056CCF"/>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1B28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6684A"/>
    <w:pPr>
      <w:tabs>
        <w:tab w:val="center" w:pos="4320"/>
        <w:tab w:val="right" w:pos="8640"/>
      </w:tabs>
    </w:pPr>
  </w:style>
  <w:style w:type="character" w:customStyle="1" w:styleId="FooterChar">
    <w:name w:val="Footer Char"/>
    <w:basedOn w:val="DefaultParagraphFont"/>
    <w:link w:val="Footer"/>
    <w:uiPriority w:val="99"/>
    <w:rsid w:val="00D6684A"/>
  </w:style>
  <w:style w:type="character" w:styleId="PageNumber">
    <w:name w:val="page number"/>
    <w:basedOn w:val="DefaultParagraphFont"/>
    <w:uiPriority w:val="99"/>
    <w:semiHidden/>
    <w:unhideWhenUsed/>
    <w:rsid w:val="00D668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CCF"/>
    <w:pPr>
      <w:ind w:left="720"/>
      <w:contextualSpacing/>
    </w:pPr>
  </w:style>
  <w:style w:type="paragraph" w:styleId="NormalWeb">
    <w:name w:val="Normal (Web)"/>
    <w:basedOn w:val="Normal"/>
    <w:uiPriority w:val="99"/>
    <w:unhideWhenUsed/>
    <w:rsid w:val="00056CCF"/>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1B28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6684A"/>
    <w:pPr>
      <w:tabs>
        <w:tab w:val="center" w:pos="4320"/>
        <w:tab w:val="right" w:pos="8640"/>
      </w:tabs>
    </w:pPr>
  </w:style>
  <w:style w:type="character" w:customStyle="1" w:styleId="FooterChar">
    <w:name w:val="Footer Char"/>
    <w:basedOn w:val="DefaultParagraphFont"/>
    <w:link w:val="Footer"/>
    <w:uiPriority w:val="99"/>
    <w:rsid w:val="00D6684A"/>
  </w:style>
  <w:style w:type="character" w:styleId="PageNumber">
    <w:name w:val="page number"/>
    <w:basedOn w:val="DefaultParagraphFont"/>
    <w:uiPriority w:val="99"/>
    <w:semiHidden/>
    <w:unhideWhenUsed/>
    <w:rsid w:val="00D66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398806">
      <w:bodyDiv w:val="1"/>
      <w:marLeft w:val="0"/>
      <w:marRight w:val="0"/>
      <w:marTop w:val="0"/>
      <w:marBottom w:val="0"/>
      <w:divBdr>
        <w:top w:val="none" w:sz="0" w:space="0" w:color="auto"/>
        <w:left w:val="none" w:sz="0" w:space="0" w:color="auto"/>
        <w:bottom w:val="none" w:sz="0" w:space="0" w:color="auto"/>
        <w:right w:val="none" w:sz="0" w:space="0" w:color="auto"/>
      </w:divBdr>
      <w:divsChild>
        <w:div w:id="1823345609">
          <w:marLeft w:val="0"/>
          <w:marRight w:val="0"/>
          <w:marTop w:val="0"/>
          <w:marBottom w:val="0"/>
          <w:divBdr>
            <w:top w:val="none" w:sz="0" w:space="0" w:color="auto"/>
            <w:left w:val="none" w:sz="0" w:space="0" w:color="auto"/>
            <w:bottom w:val="none" w:sz="0" w:space="0" w:color="auto"/>
            <w:right w:val="none" w:sz="0" w:space="0" w:color="auto"/>
          </w:divBdr>
          <w:divsChild>
            <w:div w:id="360711909">
              <w:marLeft w:val="0"/>
              <w:marRight w:val="0"/>
              <w:marTop w:val="0"/>
              <w:marBottom w:val="0"/>
              <w:divBdr>
                <w:top w:val="none" w:sz="0" w:space="0" w:color="auto"/>
                <w:left w:val="none" w:sz="0" w:space="0" w:color="auto"/>
                <w:bottom w:val="none" w:sz="0" w:space="0" w:color="auto"/>
                <w:right w:val="none" w:sz="0" w:space="0" w:color="auto"/>
              </w:divBdr>
            </w:div>
            <w:div w:id="8657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582</Words>
  <Characters>3322</Characters>
  <Application>Microsoft Macintosh Word</Application>
  <DocSecurity>0</DocSecurity>
  <Lines>27</Lines>
  <Paragraphs>7</Paragraphs>
  <ScaleCrop>false</ScaleCrop>
  <Company>Clear Intent Strategy, Inc.</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Kelly-McCabe</dc:creator>
  <cp:keywords/>
  <dc:description/>
  <cp:lastModifiedBy>Melissa Kelly-McCabe</cp:lastModifiedBy>
  <cp:revision>3</cp:revision>
  <dcterms:created xsi:type="dcterms:W3CDTF">2016-11-29T02:12:00Z</dcterms:created>
  <dcterms:modified xsi:type="dcterms:W3CDTF">2016-11-29T02:13:00Z</dcterms:modified>
</cp:coreProperties>
</file>